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64" w:rsidRPr="008D1C64" w:rsidRDefault="008D1C64">
      <w:pPr>
        <w:pStyle w:val="ConsPlusTitle"/>
        <w:jc w:val="center"/>
        <w:outlineLvl w:val="0"/>
      </w:pPr>
      <w:r w:rsidRPr="008D1C64">
        <w:t>ТУЛЬСКАЯ ОБЛАСТЬ</w:t>
      </w:r>
    </w:p>
    <w:p w:rsidR="008D1C64" w:rsidRPr="008D1C64" w:rsidRDefault="008D1C64">
      <w:pPr>
        <w:pStyle w:val="ConsPlusTitle"/>
        <w:jc w:val="center"/>
      </w:pPr>
      <w:r w:rsidRPr="008D1C64">
        <w:t>МУНИЦИПАЛЬНОЕ ОБРАЗОВАНИЕ</w:t>
      </w:r>
    </w:p>
    <w:p w:rsidR="008D1C64" w:rsidRPr="008D1C64" w:rsidRDefault="008D1C64">
      <w:pPr>
        <w:pStyle w:val="ConsPlusTitle"/>
        <w:jc w:val="center"/>
      </w:pPr>
      <w:r w:rsidRPr="008D1C64">
        <w:t>ОДОЕВСКИЙ РАЙОН</w:t>
      </w:r>
    </w:p>
    <w:p w:rsidR="008D1C64" w:rsidRPr="008D1C64" w:rsidRDefault="008D1C64">
      <w:pPr>
        <w:pStyle w:val="ConsPlusTitle"/>
        <w:jc w:val="center"/>
      </w:pPr>
      <w:r w:rsidRPr="008D1C64">
        <w:t>СОБРАНИЕ ПРЕДСТАВИТЕЛЕЙ</w:t>
      </w:r>
    </w:p>
    <w:p w:rsidR="008D1C64" w:rsidRPr="008D1C64" w:rsidRDefault="008D1C64">
      <w:pPr>
        <w:pStyle w:val="ConsPlusTitle"/>
        <w:jc w:val="center"/>
      </w:pPr>
      <w:r w:rsidRPr="008D1C64">
        <w:t>6-го созыва</w:t>
      </w:r>
    </w:p>
    <w:p w:rsidR="008D1C64" w:rsidRPr="008D1C64" w:rsidRDefault="008D1C64">
      <w:pPr>
        <w:pStyle w:val="ConsPlusTitle"/>
        <w:jc w:val="right"/>
      </w:pPr>
    </w:p>
    <w:p w:rsidR="008D1C64" w:rsidRPr="008D1C64" w:rsidRDefault="008D1C64">
      <w:pPr>
        <w:pStyle w:val="ConsPlusTitle"/>
        <w:jc w:val="center"/>
      </w:pPr>
      <w:r w:rsidRPr="008D1C64">
        <w:t>РЕШЕНИЕ</w:t>
      </w:r>
    </w:p>
    <w:p w:rsidR="008D1C64" w:rsidRPr="008D1C64" w:rsidRDefault="008D1C64">
      <w:pPr>
        <w:pStyle w:val="ConsPlusTitle"/>
        <w:jc w:val="center"/>
      </w:pPr>
      <w:r w:rsidRPr="008D1C64">
        <w:t>от 13 ноября 2019 г. N 3-25</w:t>
      </w:r>
    </w:p>
    <w:p w:rsidR="008D1C64" w:rsidRPr="008D1C64" w:rsidRDefault="008D1C64">
      <w:pPr>
        <w:pStyle w:val="ConsPlusTitle"/>
        <w:jc w:val="both"/>
      </w:pPr>
    </w:p>
    <w:p w:rsidR="008D1C64" w:rsidRPr="008D1C64" w:rsidRDefault="008D1C64">
      <w:pPr>
        <w:pStyle w:val="ConsPlusTitle"/>
        <w:jc w:val="center"/>
      </w:pPr>
      <w:r w:rsidRPr="008D1C64">
        <w:t>ОБ УСТАНОВЛЕНИИ ЗНАЧЕНИЙ КОРРЕКТИРУЮЩЕГО КОЭФФИЦИЕНТА</w:t>
      </w:r>
    </w:p>
    <w:p w:rsidR="008D1C64" w:rsidRPr="008D1C64" w:rsidRDefault="008D1C64">
      <w:pPr>
        <w:pStyle w:val="ConsPlusTitle"/>
        <w:jc w:val="center"/>
      </w:pPr>
      <w:r w:rsidRPr="008D1C64">
        <w:t>БАЗОВОЙ ДОХОДНОСТИ К</w:t>
      </w:r>
      <w:proofErr w:type="gramStart"/>
      <w:r w:rsidRPr="008D1C64">
        <w:t>2</w:t>
      </w:r>
      <w:proofErr w:type="gramEnd"/>
      <w:r w:rsidRPr="008D1C64">
        <w:t xml:space="preserve"> ПРИ ИСЧИСЛЕНИИ СУММЫ ЕДИНОГО НАЛОГА</w:t>
      </w:r>
    </w:p>
    <w:p w:rsidR="008D1C64" w:rsidRPr="008D1C64" w:rsidRDefault="008D1C64">
      <w:pPr>
        <w:pStyle w:val="ConsPlusTitle"/>
        <w:jc w:val="center"/>
      </w:pPr>
      <w:r w:rsidRPr="008D1C64">
        <w:t>НА ВМЕНЕННЫЙ ДОХОД ДЛЯ ОТДЕЛЬНЫХ ВИДОВ ДЕЯТЕЛЬНОСТИ</w:t>
      </w:r>
    </w:p>
    <w:p w:rsidR="008D1C64" w:rsidRPr="008D1C64" w:rsidRDefault="008D1C64">
      <w:pPr>
        <w:pStyle w:val="ConsPlusTitle"/>
        <w:jc w:val="center"/>
      </w:pPr>
      <w:r w:rsidRPr="008D1C64">
        <w:t>НА ТЕРРИТОРИИ МУНИЦИПАЛЬНОГО ОБРАЗОВАНИЯ ОДОЕВСКИЙ РАЙОН</w:t>
      </w:r>
    </w:p>
    <w:p w:rsidR="008D1C64" w:rsidRPr="008D1C64" w:rsidRDefault="008D1C64">
      <w:pPr>
        <w:pStyle w:val="ConsPlusTitle"/>
        <w:jc w:val="center"/>
      </w:pPr>
      <w:r w:rsidRPr="008D1C64">
        <w:t>НА 2020 ГОД</w:t>
      </w: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ind w:firstLine="540"/>
        <w:jc w:val="both"/>
      </w:pPr>
      <w:proofErr w:type="gramStart"/>
      <w:r w:rsidRPr="008D1C64">
        <w:t>В</w:t>
      </w:r>
      <w:bookmarkStart w:id="0" w:name="_GoBack"/>
      <w:bookmarkEnd w:id="0"/>
      <w:r w:rsidRPr="008D1C64">
        <w:t xml:space="preserve"> соответствии с </w:t>
      </w:r>
      <w:hyperlink r:id="rId5" w:history="1">
        <w:r w:rsidRPr="008D1C64">
          <w:t>главой 26.3</w:t>
        </w:r>
      </w:hyperlink>
      <w:r w:rsidRPr="008D1C64">
        <w:t xml:space="preserve"> Налогового кодекса Российской Федерации, Федеральным </w:t>
      </w:r>
      <w:hyperlink r:id="rId6" w:history="1">
        <w:r w:rsidRPr="008D1C64">
          <w:t>законом</w:t>
        </w:r>
      </w:hyperlink>
      <w:r w:rsidRPr="008D1C64"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8D1C64">
          <w:t>решением</w:t>
        </w:r>
      </w:hyperlink>
      <w:r w:rsidRPr="008D1C64">
        <w:t xml:space="preserve"> Собрания представителей муниципального образования Одоевский район от 21.10.2005 N 36-269 "О введении в действие системы налогообложения в виде единого налога на вмененный доход для отдельных видов деятельности", на основании </w:t>
      </w:r>
      <w:hyperlink r:id="rId8" w:history="1">
        <w:r w:rsidRPr="008D1C64">
          <w:t>Устава</w:t>
        </w:r>
      </w:hyperlink>
      <w:r w:rsidRPr="008D1C64">
        <w:t xml:space="preserve"> муниципального образования Одоевский район Собрание</w:t>
      </w:r>
      <w:proofErr w:type="gramEnd"/>
      <w:r w:rsidRPr="008D1C64">
        <w:t xml:space="preserve"> представителей муниципального образования Одоевский район решило: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bookmarkStart w:id="1" w:name="P17"/>
      <w:bookmarkEnd w:id="1"/>
      <w:r w:rsidRPr="008D1C64">
        <w:t>1. Установить значения корректирующего коэффициента базовой доходности К</w:t>
      </w:r>
      <w:proofErr w:type="gramStart"/>
      <w:r w:rsidRPr="008D1C64">
        <w:t>2</w:t>
      </w:r>
      <w:proofErr w:type="gramEnd"/>
      <w:r w:rsidRPr="008D1C64">
        <w:t xml:space="preserve"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на территории муниципального образования Одоевский район согласно </w:t>
      </w:r>
      <w:hyperlink w:anchor="P31" w:history="1">
        <w:r w:rsidRPr="008D1C64">
          <w:t>приложению</w:t>
        </w:r>
      </w:hyperlink>
      <w:r w:rsidRPr="008D1C64">
        <w:t xml:space="preserve"> к настоящему решению.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 xml:space="preserve">2. Признать утратившим силу </w:t>
      </w:r>
      <w:hyperlink r:id="rId9" w:history="1">
        <w:r w:rsidRPr="008D1C64">
          <w:t>решение</w:t>
        </w:r>
      </w:hyperlink>
      <w:r w:rsidRPr="008D1C64">
        <w:t xml:space="preserve"> Собрания представителей муниципального образования Одоевский район от 23.11.2018 N 44-322 "Об установлении значений корректирующего коэффициента базовой доходности К</w:t>
      </w:r>
      <w:proofErr w:type="gramStart"/>
      <w:r w:rsidRPr="008D1C64">
        <w:t>2</w:t>
      </w:r>
      <w:proofErr w:type="gramEnd"/>
      <w:r w:rsidRPr="008D1C64">
        <w:t xml:space="preserve"> при исчислении суммы единого налога на вмененный доход для отдельных видов деятельности на территории муниципального образования Одоевский район на 2019 год" с 31.12.2019.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3. Настоящее решение направить главе администрации муниципального образования Одоевский район, опубликовать в общественно-политической газете "Новая жизнь. Одоевский район" и разместить в информационно-телекоммуникационной сети "Интернет" на официальном сайте муниципального образования Одоевский район /</w:t>
      </w:r>
      <w:proofErr w:type="spellStart"/>
      <w:r w:rsidRPr="008D1C64">
        <w:t>http</w:t>
      </w:r>
      <w:proofErr w:type="spellEnd"/>
      <w:r w:rsidRPr="008D1C64">
        <w:t>://odoev.tularegion.ru/.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 xml:space="preserve">4. </w:t>
      </w:r>
      <w:proofErr w:type="gramStart"/>
      <w:r w:rsidRPr="008D1C64">
        <w:t>Контроль за</w:t>
      </w:r>
      <w:proofErr w:type="gramEnd"/>
      <w:r w:rsidRPr="008D1C64">
        <w:t xml:space="preserve"> исполнением настоящего решения возложить на постоянную депутатскую комиссию Собрания представителей муниципального образования Одоевский район по экономической политике, бюджету, налогам и собственности.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5. Решение вступает в силу с 01.01.2020, но не ранее чем по истечении одного месяца со дня его официального опубликования и действует до момента последующего внесения изменений в налоговое законодательство Российской Федерации.</w:t>
      </w: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jc w:val="right"/>
      </w:pPr>
      <w:r w:rsidRPr="008D1C64">
        <w:t>Глава муниципального образования</w:t>
      </w:r>
    </w:p>
    <w:p w:rsidR="008D1C64" w:rsidRPr="008D1C64" w:rsidRDefault="008D1C64">
      <w:pPr>
        <w:pStyle w:val="ConsPlusNormal"/>
        <w:jc w:val="right"/>
      </w:pPr>
      <w:r w:rsidRPr="008D1C64">
        <w:t>Одоевский район</w:t>
      </w:r>
    </w:p>
    <w:p w:rsidR="008D1C64" w:rsidRPr="008D1C64" w:rsidRDefault="008D1C64">
      <w:pPr>
        <w:pStyle w:val="ConsPlusNormal"/>
        <w:jc w:val="right"/>
      </w:pPr>
      <w:r w:rsidRPr="008D1C64">
        <w:t>В.А.КОСАРЕВ</w:t>
      </w: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jc w:val="right"/>
        <w:outlineLvl w:val="0"/>
      </w:pPr>
      <w:bookmarkStart w:id="2" w:name="P31"/>
      <w:bookmarkEnd w:id="2"/>
      <w:r w:rsidRPr="008D1C64">
        <w:t>Приложение</w:t>
      </w:r>
    </w:p>
    <w:p w:rsidR="008D1C64" w:rsidRPr="008D1C64" w:rsidRDefault="008D1C64">
      <w:pPr>
        <w:pStyle w:val="ConsPlusNormal"/>
        <w:jc w:val="right"/>
      </w:pPr>
      <w:r w:rsidRPr="008D1C64">
        <w:t>к решению Собрания представителей</w:t>
      </w:r>
    </w:p>
    <w:p w:rsidR="008D1C64" w:rsidRPr="008D1C64" w:rsidRDefault="008D1C64">
      <w:pPr>
        <w:pStyle w:val="ConsPlusNormal"/>
        <w:jc w:val="right"/>
      </w:pPr>
      <w:r w:rsidRPr="008D1C64">
        <w:t>муниципального образования</w:t>
      </w:r>
    </w:p>
    <w:p w:rsidR="008D1C64" w:rsidRPr="008D1C64" w:rsidRDefault="008D1C64">
      <w:pPr>
        <w:pStyle w:val="ConsPlusNormal"/>
        <w:jc w:val="right"/>
      </w:pPr>
      <w:r w:rsidRPr="008D1C64">
        <w:t>Одоевский район</w:t>
      </w:r>
    </w:p>
    <w:p w:rsidR="008D1C64" w:rsidRPr="008D1C64" w:rsidRDefault="008D1C64">
      <w:pPr>
        <w:pStyle w:val="ConsPlusNormal"/>
        <w:jc w:val="right"/>
      </w:pPr>
      <w:r w:rsidRPr="008D1C64">
        <w:t>от 13.11.2019 N 3-25</w:t>
      </w: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ind w:firstLine="540"/>
        <w:jc w:val="both"/>
      </w:pPr>
      <w:r w:rsidRPr="008D1C64">
        <w:t>1.1. При оказании бытовых услуг - как величина, равная:</w:t>
      </w:r>
    </w:p>
    <w:p w:rsidR="008D1C64" w:rsidRPr="008D1C64" w:rsidRDefault="008D1C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946"/>
        <w:gridCol w:w="1077"/>
      </w:tblGrid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14.12.2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Пошив производственной одежды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14.13.3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Пошив и вязание прочей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14.14.4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Пошив нательного белья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14.19.5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14.20.2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Пошив меховых изделий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14.31.2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14.39.2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15.20.5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16.24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деревянной тары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16.29.3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18.14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брошюровочно-переплетная и отделочная и сопутствующие услуги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23.70.2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Резка, обработка и отделка камня для памятников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25.50.1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25.61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Обработка металлов и нанесение покрытий на металлы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25.62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Обработка металлических изделий механическая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25.99.3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31.02.2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Изготовление кухонной мебели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31.09.2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 xml:space="preserve">Изготовление прочей мебели и отдельных мебельных деталей, не включенных в другие группировки, по индивидуальному заказу </w:t>
            </w:r>
            <w:r w:rsidRPr="008D1C64">
              <w:lastRenderedPageBreak/>
              <w:t>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lastRenderedPageBreak/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lastRenderedPageBreak/>
              <w:t>32.12.6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32.13.2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32.99.9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прочих изделий, не включенных в другие группировки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33.12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ручных инструментов с механическим приводом (электроинструментов)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33.13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таймеров, печатей с временной датой, временных замков с блокировкой и подобных устройств с фиксацией времени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33.15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и техническое обслуживание судов и лодок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33.19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прочего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38.32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Утилизация отсортированных материалов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41.10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Разработка строительных проектов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41.20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Строительство жилых и нежилых зданий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42.21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43.21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электромонтажных работ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43.22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43.29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прочих строительно-монтажных работ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Работы штукатурные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Работы столярные и плотничные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43.32.1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43.32.2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43.32.3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Работы по устройству покрытий полов и облицовке стен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малярных и стекольных работ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43.34.1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малярных работ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43.34.2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стекольных работ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43.39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прочих отделочных и завершающих работ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lastRenderedPageBreak/>
              <w:t>43.91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Производство кровельных работ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43.99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43.99.1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Работы гидроизоляционные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43.99.4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Работы бетонные и железобетонные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43.99.6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Работы каменные и кирпичные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43.99.9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45.20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Техническое обслуживание и ремонт автотранспортных средств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0,41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45.20.1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0,41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45.20.2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Техническое обслуживание и ремонт прочих автотранспортных средств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0,41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45.20.3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0,41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45.20.4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0,41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45.40.5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 xml:space="preserve">Техническое обслуживание и ремонт мотоциклов и </w:t>
            </w:r>
            <w:proofErr w:type="spellStart"/>
            <w:r w:rsidRPr="008D1C64">
              <w:t>мототранспортных</w:t>
            </w:r>
            <w:proofErr w:type="spellEnd"/>
            <w:r w:rsidRPr="008D1C64">
              <w:t xml:space="preserve"> средств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0,41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47.78.22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Сборка и ремонт очков в специализированных магазинах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52.21.25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по буксировке автотранспортных средств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0,41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58.19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Виды издательской деятельности прочие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74.1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proofErr w:type="gramStart"/>
            <w:r w:rsidRPr="008D1C64">
              <w:t>Деятельность</w:t>
            </w:r>
            <w:proofErr w:type="gramEnd"/>
            <w:r w:rsidRPr="008D1C64">
              <w:t xml:space="preserve"> специализированная в области дизайна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74.2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Услуги фотоателье, фот</w:t>
            </w:r>
            <w:proofErr w:type="gramStart"/>
            <w:r w:rsidRPr="008D1C64">
              <w:t>о-</w:t>
            </w:r>
            <w:proofErr w:type="gramEnd"/>
            <w:r w:rsidRPr="008D1C64">
              <w:t xml:space="preserve"> и кинолабораторий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74.3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по письменному и устному переводу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Аренда и лизинг автотранспортных средств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77.11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Аренда и лизинг легковых автомобилей и легких автотранспортных средств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77.12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Аренда и лизинг грузовых транспортных средств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77.21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Прокат и аренда товаров для отдыха и спортивных товаров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77.22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77.29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 xml:space="preserve">Прокат и аренда прочих предметов личного пользования и </w:t>
            </w:r>
            <w:r w:rsidRPr="008D1C64">
              <w:lastRenderedPageBreak/>
              <w:t>хозяйственно-бытового назначения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lastRenderedPageBreak/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lastRenderedPageBreak/>
              <w:t>77.29.1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77.29.2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Прокат мебели, электрических и неэлектрических бытовых приборов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77.29.3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Прокат музыкальных инструментов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77.29.9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77.31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Аренда и лизинг сельскохозяйственных машин и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77.33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77.33.1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Аренда и лизинг офисных машин и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77.33.2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Аренда и лизинг вычислительных машин и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77.34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Аренда и лизинг водных транспортных средств и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77.39.11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Аренда и лизинг прочего автомобильного транспорта и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81.21.1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по уборке квартир и частных домов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81.22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по чистке и уборке жилых зданий и нежилых помещений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81.29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по чистке и уборке прочая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81.29.1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Дезинфекция, дезинсекция, дератизация зданий, промышленного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81.29.2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Подметание улиц и уборка снега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81.29.9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по чистке и уборке прочая, не включенная в другие группировки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81.3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по благоустройству ландшафта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82.19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88.10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88.91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Предоставление услуг по дневному уходу за детьми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93.29.3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 xml:space="preserve">Организация обрядов (свадеб, юбилеев), в </w:t>
            </w:r>
            <w:proofErr w:type="spellStart"/>
            <w:r w:rsidRPr="008D1C64">
              <w:t>т.ч</w:t>
            </w:r>
            <w:proofErr w:type="spellEnd"/>
            <w:r w:rsidRPr="008D1C64">
              <w:t>. музыкальное сопровождение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93.29.9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95.11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компьютеров и периферийного компьютерного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lastRenderedPageBreak/>
              <w:t>95.12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коммуникационного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электронной бытовой техники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бытовых приборов, домашнего и садового инвентаря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95.22.1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бытовой техники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95.22.2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домашнего и садового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обуви и прочих изделий из кожи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мебели и предметов домашнего обихода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95.24.1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мебели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95.24.2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предметов домашнего обихода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95.25.1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часов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95.25.2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ювелирных изделий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прочих предметов личного потребления и бытовых товаров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одежды и текстильных изделий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95.29.11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одежды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95.29.12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текстильных изделий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95.29.13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трикотажных изделий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спортивного и туристского оборудования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игрушек и подобных им изделий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металлоизделий бытового и хозяйственного назначения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95.29.41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предметов и изделий из металла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95.29.42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металлической галантереи, ключей, номерных знаков, указателей улиц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95.29.43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95.29.5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бытовых осветительных приборов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95.29.6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велосипедов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95.29.7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95.29.9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96.01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Стирка и химическая чистка текстильных и меховых изделий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lastRenderedPageBreak/>
              <w:t>96.02.1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Предоставление парикмахерских услуг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96.02.2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Предоставление косметических услуг парикмахерскими и салонами красоты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96.03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Организация похорон и предоставление связанных с ними услуг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96.04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Деятельность физкультурно-оздоровительная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  <w:tr w:rsidR="008D1C64" w:rsidRPr="008D1C64">
        <w:tc>
          <w:tcPr>
            <w:tcW w:w="1020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96.09</w:t>
            </w:r>
          </w:p>
        </w:tc>
        <w:tc>
          <w:tcPr>
            <w:tcW w:w="6946" w:type="dxa"/>
          </w:tcPr>
          <w:p w:rsidR="008D1C64" w:rsidRPr="008D1C64" w:rsidRDefault="008D1C64">
            <w:pPr>
              <w:pStyle w:val="ConsPlusNormal"/>
            </w:pPr>
            <w:r w:rsidRPr="008D1C64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077" w:type="dxa"/>
          </w:tcPr>
          <w:p w:rsidR="008D1C64" w:rsidRPr="008D1C64" w:rsidRDefault="008D1C64">
            <w:pPr>
              <w:pStyle w:val="ConsPlusNormal"/>
              <w:jc w:val="center"/>
            </w:pPr>
            <w:r w:rsidRPr="008D1C64">
              <w:t>0,205</w:t>
            </w:r>
          </w:p>
        </w:tc>
      </w:tr>
    </w:tbl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ind w:firstLine="540"/>
        <w:jc w:val="both"/>
      </w:pPr>
      <w:r w:rsidRPr="008D1C64">
        <w:t>1.2. При оказании ветеринарных услуг - как величина, равная 0,255.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1.3.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- как величина, равная 0,21.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1.4. При оказании автотранспортных услуг по перевозке грузов - как величина, равная 0,61.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1.5. При оказании автотранспортных услуг по перевозке пассажиров и такси: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- транспортное средство, имеющее помимо места водителя не более 8 мест для сидения, - как величина, равная 0,81;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- транспортное средство, имеющее помимо места водителя более 8 мест для сидения и максимальная масса которого не превышает 5 тонн, - как величина, равная 0,51;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- транспортное средство, имеющее помимо места водителя более 8 мест для сидения и максимальная масса которого превышает 5 тонн, - как величина, равная 0,31.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 xml:space="preserve">1.6. Для розничной торговли, осуществляемой через объекты стационарной торговой сети, имеющей торговые залы, расположенные в </w:t>
      </w:r>
      <w:proofErr w:type="spellStart"/>
      <w:r w:rsidRPr="008D1C64">
        <w:t>р.п</w:t>
      </w:r>
      <w:proofErr w:type="spellEnd"/>
      <w:r w:rsidRPr="008D1C64">
        <w:t>. Одоев, - как величина, равная 0,37;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- в сельской местности - как величина, равная 0,085.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 xml:space="preserve">1.7. Для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метров, расположенные в </w:t>
      </w:r>
      <w:proofErr w:type="spellStart"/>
      <w:r w:rsidRPr="008D1C64">
        <w:t>р.п</w:t>
      </w:r>
      <w:proofErr w:type="spellEnd"/>
      <w:r w:rsidRPr="008D1C64">
        <w:t>. Одоев, - как величина, равная 0,255;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- в сельской местности - как величина, равная 0,143.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1.8. Для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метров, - как величина, равная 0,365;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- в сельской местности - как величина, равная 0,082.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1.9. Для реализации товаров с использованием торговых автоматов - как величина, равная 0,4.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 xml:space="preserve">1.10. Для развозной и розничной торговли в </w:t>
      </w:r>
      <w:proofErr w:type="spellStart"/>
      <w:r w:rsidRPr="008D1C64">
        <w:t>р.п</w:t>
      </w:r>
      <w:proofErr w:type="spellEnd"/>
      <w:r w:rsidRPr="008D1C64">
        <w:t>. Одоев - как величина, равная 0,4;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- в сельской местности - как величина, равная 0,3.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 xml:space="preserve">1.11. При оказании услуг общественного питания через объект организации общественного </w:t>
      </w:r>
      <w:r w:rsidRPr="008D1C64">
        <w:lastRenderedPageBreak/>
        <w:t>питания, имеющий зал обслуживания посетителей, - как величина, равная 0,525;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- в сельской местности - как величина, равная 0,26.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1.12. При оказании услуг общественного питания через объект организации общественного питания, не имеющий зала обслуживания посетителей, - 0,31.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1.13. При размещении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как величина, равная 0,455.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1.14. Распространение наружной рекламы с использованием рекламных конструкций с автоматической сменой изображения - как величина, равная 0,1.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1.15. Распространение наружной рекламы с использованием рекламных конструкций с автоматической сменой изображения - как величина, равная 0,1.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1.16. Размещение рекламы с использованием внешних и внутренних поверхностей транспортных средств - как величина, равная 0,1.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1.17.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- как величина, равная 0,205.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 xml:space="preserve">1.18. </w:t>
      </w:r>
      <w:proofErr w:type="gramStart"/>
      <w:r w:rsidRPr="008D1C64">
        <w:t>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м, - как величина, равная 0,43.</w:t>
      </w:r>
      <w:proofErr w:type="gramEnd"/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 xml:space="preserve">1.19. </w:t>
      </w:r>
      <w:proofErr w:type="gramStart"/>
      <w:r w:rsidRPr="008D1C64">
        <w:t>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м, - как величина, равная 0,185.</w:t>
      </w:r>
      <w:proofErr w:type="gramEnd"/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1.20. При оказании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м, - как величина, равная 0,505.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1.21.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м, - как величина, равная 0,36.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 xml:space="preserve">2. Для налогоплательщиков - инвалидов с детства, инвалидов 1 и 2 групп, индивидуально осуществляющих виды предпринимательской деятельности, указанные в </w:t>
      </w:r>
      <w:hyperlink w:anchor="P17" w:history="1">
        <w:r w:rsidRPr="008D1C64">
          <w:t>пункте 1</w:t>
        </w:r>
      </w:hyperlink>
      <w:r w:rsidRPr="008D1C64">
        <w:t xml:space="preserve"> настоящего решения, без привлечения наемных работников, значение коэффициента К</w:t>
      </w:r>
      <w:proofErr w:type="gramStart"/>
      <w:r w:rsidRPr="008D1C64">
        <w:t>2</w:t>
      </w:r>
      <w:proofErr w:type="gramEnd"/>
      <w:r w:rsidRPr="008D1C64">
        <w:t xml:space="preserve"> уменьшается в 2 раза.</w:t>
      </w:r>
    </w:p>
    <w:p w:rsidR="008D1C64" w:rsidRPr="008D1C64" w:rsidRDefault="008D1C64">
      <w:pPr>
        <w:pStyle w:val="ConsPlusNormal"/>
        <w:spacing w:before="220"/>
        <w:ind w:firstLine="540"/>
        <w:jc w:val="both"/>
      </w:pPr>
      <w:r w:rsidRPr="008D1C64">
        <w:t>Налогоплательщик, имеющий право на уменьшение значения коэффициента К</w:t>
      </w:r>
      <w:proofErr w:type="gramStart"/>
      <w:r w:rsidRPr="008D1C64">
        <w:t>2</w:t>
      </w:r>
      <w:proofErr w:type="gramEnd"/>
      <w:r w:rsidRPr="008D1C64">
        <w:t xml:space="preserve"> одновременно по нескольким основаниям, указанным в настоящем пункте, может воспользоваться только одним из них.</w:t>
      </w: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jc w:val="both"/>
      </w:pPr>
    </w:p>
    <w:p w:rsidR="008D1C64" w:rsidRPr="008D1C64" w:rsidRDefault="008D1C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4930" w:rsidRPr="008D1C64" w:rsidRDefault="00094930"/>
    <w:sectPr w:rsidR="00094930" w:rsidRPr="008D1C64" w:rsidSect="0039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64"/>
    <w:rsid w:val="00094930"/>
    <w:rsid w:val="008D1C64"/>
    <w:rsid w:val="009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5672582D7EF44F27B9DEE7B374A1FF37D72CCC7778F30C5605F5575F88FCFD181ECFE5CA383CC1D98AFFBF8E95909AD7DCE19D75EA24C6AF38EW77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45672582D7EF44F27B9DEE7B374A1FF37D72CCC77E8A3DC4605F5575F88FCFD181ECFE5CA383CC1D91A7FFF8E95909AD7DCE19D75EA24C6AF38EW77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5672582D7EF44F27B83E36D5B1414F7722EC1CC798363993F040822F1859896CEB5BC18AE83C81F9AF2A8B7E8054FFD6ECC1ED75CA050W678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D45672582D7EF44F27B83E36D5B1414F7722EC2C97F8363993F040822F1859896CEB5BC19AD87C416C5F7BDA6B00A48E670CE02CB5EA2W572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45672582D7EF44F27B9DEE7B374A1FF37D72CCC67D8F3CC1605F5575F88FCFD181ECEC5CFB8FCE188FA6FBEDBF084FWF7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 Александровна</dc:creator>
  <cp:lastModifiedBy>Михеева Елена Александровна</cp:lastModifiedBy>
  <cp:revision>1</cp:revision>
  <dcterms:created xsi:type="dcterms:W3CDTF">2020-02-25T07:59:00Z</dcterms:created>
  <dcterms:modified xsi:type="dcterms:W3CDTF">2020-02-25T08:00:00Z</dcterms:modified>
</cp:coreProperties>
</file>